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AF13E2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Start w:id="1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bookmarkEnd w:id="1"/>
          </w:p>
        </w:tc>
      </w:tr>
      <w:tr w:rsidR="00AF13E2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F13E2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AF13E2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AF13E2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AF13E2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2021 г.</w:t>
                  </w: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01.01.2021</w:t>
            </w:r>
          </w:p>
        </w:tc>
      </w:tr>
      <w:tr w:rsidR="00AF13E2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AF13E2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ПБС</w:t>
                  </w: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</w:tr>
      <w:tr w:rsidR="00AF13E2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spacing w:line="1" w:lineRule="auto"/>
            </w:pPr>
          </w:p>
        </w:tc>
      </w:tr>
      <w:tr w:rsidR="00AF13E2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23835084</w:t>
            </w:r>
          </w:p>
        </w:tc>
      </w:tr>
      <w:tr w:rsidR="00AF13E2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spacing w:line="1" w:lineRule="auto"/>
              <w:jc w:val="center"/>
            </w:pPr>
          </w:p>
        </w:tc>
      </w:tr>
      <w:tr w:rsidR="00AF13E2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spacing w:line="1" w:lineRule="auto"/>
              <w:jc w:val="center"/>
            </w:pPr>
          </w:p>
        </w:tc>
      </w:tr>
      <w:tr w:rsidR="00AF13E2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казенное учреждение «Многофункциональный центр предоставления государственных и муниципальных услуг Первомайского района Оренбургской области»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</w:t>
            </w:r>
          </w:p>
        </w:tc>
      </w:tr>
      <w:tr w:rsidR="00AF13E2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Консолидированный бюджет Первомайского МР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spacing w:line="1" w:lineRule="auto"/>
              <w:jc w:val="center"/>
            </w:pPr>
          </w:p>
        </w:tc>
      </w:tr>
      <w:tr w:rsidR="00AF13E2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AF13E2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53636000</w:t>
                  </w: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</w:tr>
      <w:tr w:rsidR="00AF13E2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AF13E2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spacing w:line="1" w:lineRule="auto"/>
              <w:jc w:val="center"/>
            </w:pPr>
          </w:p>
        </w:tc>
      </w:tr>
      <w:tr w:rsidR="00AF13E2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AF13E2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AF13E2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E2" w:rsidRDefault="00763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AF13E2" w:rsidRDefault="00AF13E2">
      <w:pPr>
        <w:rPr>
          <w:vanish/>
        </w:rPr>
      </w:pPr>
      <w:bookmarkStart w:id="2" w:name="__bookmark_3"/>
      <w:bookmarkEnd w:id="2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AF13E2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</w:tr>
      <w:tr w:rsidR="00AF13E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AF13E2" w:rsidRDefault="007637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F13E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AF13E2" w:rsidRDefault="00763754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Муниципальное казенное учреждение «Многофункциональный центр предоставления государственных и муниципальных услуг Первомайского района Оренбургской области» (далее – Учреждение) создано в соответствии с Конституцией Российской Федерации, федеральными закон</w:t>
                  </w:r>
                  <w:r>
                    <w:rPr>
                      <w:color w:val="000000"/>
                      <w:sz w:val="27"/>
                      <w:szCs w:val="27"/>
                    </w:rPr>
                    <w:t>ами, указами Президента Российской Федерации, постановлениями Правительства Российской Федерации, законодательством Оренбургской области, муниципальными нормативными правовыми актами   муниципального образования Первомайский район Оренбургской области. Пол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ное официальное наименование Учреждения: муниципальное казенное учреждение «Многофункциональный центр предоставления государственных и муниципальных услуг Первомайского района Оренбургской </w:t>
                  </w:r>
                  <w:proofErr w:type="gramStart"/>
                  <w:r>
                    <w:rPr>
                      <w:color w:val="000000"/>
                      <w:sz w:val="27"/>
                      <w:szCs w:val="27"/>
                    </w:rPr>
                    <w:t xml:space="preserve">области»   </w:t>
                  </w:r>
                  <w:proofErr w:type="gramEnd"/>
                  <w:r>
                    <w:rPr>
                      <w:color w:val="000000"/>
                      <w:sz w:val="27"/>
                      <w:szCs w:val="27"/>
                    </w:rPr>
                    <w:t>Сокращенное наименование: МКУ «МФЦ». Учреждение   являет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ся    некоммерческой   организацией. </w:t>
                  </w:r>
                  <w:proofErr w:type="gramStart"/>
                  <w:r>
                    <w:rPr>
                      <w:color w:val="000000"/>
                      <w:sz w:val="27"/>
                      <w:szCs w:val="27"/>
                    </w:rPr>
                    <w:t>Учредителем  и</w:t>
                  </w:r>
                  <w:proofErr w:type="gramEnd"/>
                  <w:r>
                    <w:rPr>
                      <w:color w:val="000000"/>
                      <w:sz w:val="27"/>
                      <w:szCs w:val="27"/>
                    </w:rPr>
                    <w:t xml:space="preserve"> собственником имущества Учреждения  является  муниципальное образование  Первомайский район Оренбургской области (далее – Учредитель). Функции и полномочия Учредителя осуществляет администрация Первомайск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ого района Оренбургской области в лице: 1.Главы Первомайского района - в части назначения на должность и освобождения от должности директора МКУ «МФЦ», заключения и </w:t>
                  </w:r>
                  <w:r>
                    <w:rPr>
                      <w:color w:val="000000"/>
                      <w:sz w:val="27"/>
                      <w:szCs w:val="27"/>
                    </w:rPr>
                    <w:lastRenderedPageBreak/>
                    <w:t>прекращения трудового договора с ним, утверждения Устава, вносимых в него изменений, а такж</w:t>
                  </w:r>
                  <w:r>
                    <w:rPr>
                      <w:color w:val="000000"/>
                      <w:sz w:val="27"/>
                      <w:szCs w:val="27"/>
                    </w:rPr>
                    <w:t>е иных полномочий, отнесенных действующими нормативными правовыми актами к компетенции  главы района; 2. Комитета по управлению имуществом района и земельным отношениям администрации Первомайского района - в части контроля за использованием имущества, пере</w:t>
                  </w:r>
                  <w:r>
                    <w:rPr>
                      <w:color w:val="000000"/>
                      <w:sz w:val="27"/>
                      <w:szCs w:val="27"/>
                    </w:rPr>
                    <w:t>данного МКУ «МФЦ» в оперативное управление. Учреждение является юридическим лицом с момента государственной регистрации, имеет Устав, имущество на праве оперативного управления, штамп, бланки со своим наименованием, печать установленного образца, вправе от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крывать лицевые счета в территориальном органе Федерального казначейства. Учреждение от своего имени приобретает имущественные и </w:t>
                  </w:r>
                  <w:proofErr w:type="gramStart"/>
                  <w:r>
                    <w:rPr>
                      <w:color w:val="000000"/>
                      <w:sz w:val="27"/>
                      <w:szCs w:val="27"/>
                    </w:rPr>
                    <w:t>личные  не</w:t>
                  </w:r>
                  <w:proofErr w:type="gramEnd"/>
                  <w:r>
                    <w:rPr>
                      <w:color w:val="000000"/>
                      <w:sz w:val="27"/>
                      <w:szCs w:val="27"/>
                    </w:rPr>
                    <w:t xml:space="preserve"> имущественные права, несет обязанности, выступает истцом и ответчиком в суде и арбитражном суде в соответствии с зак</w:t>
                  </w:r>
                  <w:r>
                    <w:rPr>
                      <w:color w:val="000000"/>
                      <w:sz w:val="27"/>
                      <w:szCs w:val="27"/>
                    </w:rPr>
                    <w:t>онодательством Российской Федерации.  Контроль за целевым использованием и сохранностью имущества, закрепленного за Учреждением на праве оперативного управления, осуществляет администрация Первомайского района Оренбургской области. Местонахождение Учрежден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ия: 461980, Оренбургская область, Первомайский район, п. Первомайский, ул. </w:t>
                  </w: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Новотепловская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 xml:space="preserve">, д.9 Юридический адрес Учреждения: 461980, Оренбургская область, Первомайский район, п. Первомайский, ул. </w:t>
                  </w: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Новотепловская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>, д.</w:t>
                  </w:r>
                  <w:proofErr w:type="gramStart"/>
                  <w:r>
                    <w:rPr>
                      <w:color w:val="000000"/>
                      <w:sz w:val="27"/>
                      <w:szCs w:val="27"/>
                    </w:rPr>
                    <w:t>9 .</w:t>
                  </w:r>
                  <w:proofErr w:type="gramEnd"/>
                </w:p>
              </w:tc>
            </w:tr>
          </w:tbl>
          <w:p w:rsidR="00AF13E2" w:rsidRDefault="007637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AF13E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1 «Организационная структур</w:t>
            </w:r>
            <w:r>
              <w:rPr>
                <w:b/>
                <w:bCs/>
                <w:color w:val="000000"/>
                <w:sz w:val="28"/>
                <w:szCs w:val="28"/>
              </w:rPr>
              <w:t>а субъекта бюджетной отчетности»</w:t>
            </w:r>
          </w:p>
          <w:p w:rsidR="00AF13E2" w:rsidRDefault="007637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F13E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AF13E2" w:rsidRDefault="00763754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Учреждение подведомственно администрации Первомайского района Оренбургской области, создано для оказания услуг в целях осуществления предусмотренных законодательством Российской Федерации полномочий органов гос</w:t>
                  </w:r>
                  <w:r>
                    <w:rPr>
                      <w:color w:val="000000"/>
                      <w:sz w:val="27"/>
                      <w:szCs w:val="27"/>
                    </w:rPr>
                    <w:t>ударственной власти, полномочий органов местного самоуправления в сферах образования, здравоохранения, культуры, социальной защиты, физической культуры и спорту, жилищно-коммунального хозяйства, а также по иным услугам.</w:t>
                  </w:r>
                </w:p>
                <w:p w:rsidR="00AF13E2" w:rsidRDefault="00763754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Полномочия по ведению бухгалтерского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учета переданы МКУ "Единая централизованная система учета" Первомайского района Оренбургской области. Исполнителем, составившем бухгалтерскую отчетность является заместитель директора-главный бухгалтер МКУ "ЕЦСУ" Платонова Юлия Михайловна.</w:t>
                  </w:r>
                </w:p>
                <w:p w:rsidR="00AF13E2" w:rsidRDefault="00763754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Подведомственны</w:t>
                  </w:r>
                  <w:r>
                    <w:rPr>
                      <w:color w:val="000000"/>
                      <w:sz w:val="27"/>
                      <w:szCs w:val="27"/>
                    </w:rPr>
                    <w:t>х учреждений и филиалов у учреждения нет.</w:t>
                  </w:r>
                </w:p>
              </w:tc>
            </w:tr>
          </w:tbl>
          <w:p w:rsidR="00AF13E2" w:rsidRDefault="007637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F13E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AF13E2" w:rsidRDefault="007637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F13E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AF13E2" w:rsidRDefault="00763754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В штатном расписании учреждения утверждено 11,3 штатных единиц. 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Все сотрудники соответствуют </w:t>
                  </w: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профстандартам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>. Рабочее место каждого сотрудника технически оборудовано компьютерной техникой с доступом в Интернет. Также оборудованы места для приема граждан. Учреждение имеет сайт в сети Интернет http://мфц.первомайский-</w:t>
                  </w:r>
                  <w:r>
                    <w:rPr>
                      <w:color w:val="000000"/>
                      <w:sz w:val="27"/>
                      <w:szCs w:val="27"/>
                    </w:rPr>
                    <w:lastRenderedPageBreak/>
                    <w:t>райо</w:t>
                  </w:r>
                  <w:r>
                    <w:rPr>
                      <w:color w:val="000000"/>
                      <w:sz w:val="27"/>
                      <w:szCs w:val="27"/>
                    </w:rPr>
                    <w:t>н.рф/, который поддерживается в актуальном состоянии.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Учреждением были приняты следующие меры по повышению эффективности расходования бюджетных средств:</w:t>
                  </w:r>
                </w:p>
                <w:p w:rsidR="00AF13E2" w:rsidRDefault="00763754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- недопущение принятия обязательств (денежных обязательств) сверх плановых 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назначений (ЛБО);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- сохране</w:t>
                  </w:r>
                  <w:r>
                    <w:rPr>
                      <w:color w:val="000000"/>
                      <w:sz w:val="27"/>
                      <w:szCs w:val="27"/>
                    </w:rPr>
                    <w:t>ние штатной численности учреждения;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- соблюдение нормативов по оплате труда;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- учет норм расходования материалов на техобслуживание средств вычислительной техники;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222222"/>
                      <w:sz w:val="27"/>
                      <w:szCs w:val="27"/>
                    </w:rPr>
                    <w:t>Техническое состояние основных средств удовлетворительное. Проведены основные мероприятия по</w:t>
                  </w:r>
                  <w:r>
                    <w:rPr>
                      <w:color w:val="222222"/>
                      <w:sz w:val="27"/>
                      <w:szCs w:val="27"/>
                    </w:rPr>
                    <w:t xml:space="preserve"> улучшению их состояния и сохранности. Основными средствами, материальными запасами учреждение обеспечено своевременно.</w:t>
                  </w:r>
                </w:p>
              </w:tc>
            </w:tr>
          </w:tbl>
          <w:p w:rsidR="00AF13E2" w:rsidRDefault="007637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AF13E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AF13E2" w:rsidRDefault="007637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F13E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Финансовое обеспечение Учреждения осуществляется за счет средств бюджета муниципального образования Первомайский район Оренбургской области.</w:t>
                  </w:r>
                </w:p>
                <w:p w:rsidR="00AF13E2" w:rsidRDefault="00AF13E2">
                  <w:pPr>
                    <w:jc w:val="both"/>
                  </w:pP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Ф.0503164 «Сведения об исполнении бюджета». 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Утверждены ассигнования на 2020 г. в сумме 4179400,00 рублей. По сост</w:t>
                  </w:r>
                  <w:r>
                    <w:rPr>
                      <w:color w:val="000000"/>
                      <w:sz w:val="27"/>
                      <w:szCs w:val="27"/>
                    </w:rPr>
                    <w:t>оянию на 01.01.2021 г. бюджет исполнен на 94,4 % или на сумму 3943828,72 рублей. Экономия средств по оплате труда произошла за счет выплаты больничных листов, а также за счет вакансий в течении года.</w:t>
                  </w:r>
                </w:p>
              </w:tc>
            </w:tr>
          </w:tbl>
          <w:p w:rsidR="00AF13E2" w:rsidRDefault="007637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F13E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</w:t>
            </w:r>
            <w:r>
              <w:rPr>
                <w:b/>
                <w:bCs/>
                <w:color w:val="000000"/>
                <w:sz w:val="28"/>
                <w:szCs w:val="28"/>
              </w:rPr>
              <w:t>и субъекта бюджетной отчетности»</w:t>
            </w:r>
          </w:p>
          <w:p w:rsidR="00AF13E2" w:rsidRDefault="007637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F13E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В 2020 году учреждение не принимало участия в реализации национальных проектов (программ), в связи с чем Отчет (ф. 0503128-НП) не представляется.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Ф. 0503168 «Сведения о движении нефинансовых активов».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В 2020г. приобретено основных средств на сумму 183920,00 рублей (видеорегистратор, МФУ лазерный, кресло офисное, столы письменные, тумба, шкафы, установка для </w:t>
                  </w:r>
                  <w:proofErr w:type="gramStart"/>
                  <w:r>
                    <w:rPr>
                      <w:color w:val="000000"/>
                      <w:sz w:val="27"/>
                      <w:szCs w:val="27"/>
                    </w:rPr>
                    <w:t>обеззараживания  и</w:t>
                  </w:r>
                  <w:proofErr w:type="gramEnd"/>
                  <w:r>
                    <w:rPr>
                      <w:color w:val="000000"/>
                      <w:sz w:val="27"/>
                      <w:szCs w:val="27"/>
                    </w:rPr>
                    <w:t xml:space="preserve"> очистки воздуха). Передано безвозмездно в администрацию Первомайского района о</w:t>
                  </w:r>
                  <w:r>
                    <w:rPr>
                      <w:color w:val="000000"/>
                      <w:sz w:val="27"/>
                      <w:szCs w:val="27"/>
                    </w:rPr>
                    <w:t>сновных средств (тумба приставная, стул офисный, стол эргономичный, стол на опорах, гардероб, шкаф комбинированный, кресло офисное) на сумму 52754,16 рублей. Остаток основных средств на 01.01.2021г. составляет 6020506,78 рублей, в том числе здания и сооруж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ения - 749148,83 рублей, машины и </w:t>
                  </w:r>
                  <w:r>
                    <w:rPr>
                      <w:color w:val="000000"/>
                      <w:sz w:val="27"/>
                      <w:szCs w:val="27"/>
                    </w:rPr>
                    <w:lastRenderedPageBreak/>
                    <w:t>оборудование (компьютеры, принтеры) – 4024767,59 рублей, производственный и хозяйственный инвентарь (мебель) - 1201716,36 рублей, прочие основные средства - 44874,00 рублей.   Амортизация на 01.01.2021г. составляет 5695502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,71 рублей, в том числе здания и сооружения - 749148,83 </w:t>
                  </w:r>
                  <w:proofErr w:type="gramStart"/>
                  <w:r>
                    <w:rPr>
                      <w:color w:val="000000"/>
                      <w:sz w:val="27"/>
                      <w:szCs w:val="27"/>
                    </w:rPr>
                    <w:t>рублей,  машины</w:t>
                  </w:r>
                  <w:proofErr w:type="gramEnd"/>
                  <w:r>
                    <w:rPr>
                      <w:color w:val="000000"/>
                      <w:sz w:val="27"/>
                      <w:szCs w:val="27"/>
                    </w:rPr>
                    <w:t xml:space="preserve"> и оборудование (компьютеры, принтеры) – 3738993,52 рублей, производственный и хозяйственный инвентарь (мебель) - 1162486,36 рублей, прочие основные средства 44874,00 рублей.</w:t>
                  </w:r>
                </w:p>
                <w:p w:rsidR="00AF13E2" w:rsidRDefault="00763754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Ф. 0503169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«Сведения по дебиторской и кредиторской задолженности». Дебиторская задолженность на 1 января 2021 года составила 27827,31 рублей (переплата во внебюджетные фонды, авансовый платеж за услуги связи), кредиторская задолженность составила 610,00 рублей за ус</w:t>
                  </w:r>
                  <w:r>
                    <w:rPr>
                      <w:color w:val="000000"/>
                      <w:sz w:val="27"/>
                      <w:szCs w:val="27"/>
                    </w:rPr>
                    <w:t>луги по техническому обслуживанию технических средств охраны, просроченная кредиторская задолженность отсутствует.</w:t>
                  </w:r>
                </w:p>
                <w:p w:rsidR="00AF13E2" w:rsidRDefault="00763754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Ф.0503173 «Сведения об изменении остатков валюты баланса».</w:t>
                  </w:r>
                </w:p>
                <w:p w:rsidR="00AF13E2" w:rsidRDefault="00763754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События после отчетной даты, которые подлежат отражению в оборотах 2020 года и отчетности за этот год, не происходили. Ошибки прошлых лет в 2020 году не выявлены.</w:t>
                  </w:r>
                </w:p>
                <w:p w:rsidR="00AF13E2" w:rsidRDefault="00763754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Ф. 0503175 «Сведения о принятых и неисполненных обязательствах получателя бюджетных средств».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Остаток неисполненных бюджетных обязательств в 2020 году составил 9915,59 рублей по договору с ПАО "Мобильные </w:t>
                  </w: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ТелеСистемы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 xml:space="preserve">" № 66/13-20 от </w:t>
                  </w:r>
                  <w:proofErr w:type="gramStart"/>
                  <w:r>
                    <w:rPr>
                      <w:color w:val="000000"/>
                      <w:sz w:val="27"/>
                      <w:szCs w:val="27"/>
                    </w:rPr>
                    <w:t>09.01.2020г.,№</w:t>
                  </w:r>
                  <w:proofErr w:type="gramEnd"/>
                  <w:r>
                    <w:rPr>
                      <w:color w:val="000000"/>
                      <w:sz w:val="27"/>
                      <w:szCs w:val="27"/>
                    </w:rPr>
                    <w:t xml:space="preserve"> 156356968615 от 09.01.2020г. за услуги связи 5089,59 рублей, по договору с МУ по обеспечению деятельнос</w:t>
                  </w:r>
                  <w:r>
                    <w:rPr>
                      <w:color w:val="000000"/>
                      <w:sz w:val="27"/>
                      <w:szCs w:val="27"/>
                    </w:rPr>
                    <w:t>ти Первомайского района № 35/13 от 17.02.2020г. за коммунальные расходы 4216,0 рублей остаток неисполненных бюджетных и денежных обязательств составил 610,00 рублей по договору с ООО  ПКФ ФАЛГ ПЛЮС № 242-то/3/20 от 20.01.2020г.</w:t>
                  </w:r>
                </w:p>
                <w:p w:rsidR="00AF13E2" w:rsidRDefault="00763754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Остаток наличных денег в кас</w:t>
                  </w:r>
                  <w:r>
                    <w:rPr>
                      <w:color w:val="000000"/>
                      <w:sz w:val="27"/>
                      <w:szCs w:val="27"/>
                    </w:rPr>
                    <w:t>се на 1 января 2021 года отсутствует.</w:t>
                  </w:r>
                </w:p>
              </w:tc>
            </w:tr>
          </w:tbl>
          <w:p w:rsidR="00AF13E2" w:rsidRDefault="007637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AF13E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деятельности субъекта бюджетной отчетности»</w:t>
            </w:r>
          </w:p>
          <w:p w:rsidR="00AF13E2" w:rsidRDefault="007637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F13E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Обязательств по судебным решениям и исполнительным документам на 1 января 2021 года нет, в течение 2020 года такие обязательства не возникали.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Незавершенных объектов капитального строительства, а также вложений в объекты недвижимого имущества за 2020 год н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ет, в связи с чем Сведения о вложениях в объекты недвижимого имущества, объектах незавершенного 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строительства</w:t>
                  </w:r>
                  <w:r>
                    <w:rPr>
                      <w:color w:val="000000"/>
                      <w:sz w:val="27"/>
                      <w:szCs w:val="27"/>
                    </w:rPr>
                    <w:t>  </w:t>
                  </w:r>
                  <w:r>
                    <w:rPr>
                      <w:color w:val="000000"/>
                      <w:sz w:val="29"/>
                      <w:szCs w:val="29"/>
                    </w:rPr>
                    <w:t>(</w:t>
                  </w:r>
                  <w:proofErr w:type="gramEnd"/>
                  <w:r>
                    <w:rPr>
                      <w:color w:val="000000"/>
                      <w:sz w:val="29"/>
                      <w:szCs w:val="29"/>
                    </w:rPr>
                    <w:t>ф. 0503190) не представляются.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 Инвентаризация проведена по состоянию на 12.11.2020 года.  Недостач и хищений не выявлено, в связи с чем в соста</w:t>
                  </w:r>
                  <w:r>
                    <w:rPr>
                      <w:color w:val="000000"/>
                      <w:sz w:val="27"/>
                      <w:szCs w:val="27"/>
                    </w:rPr>
                    <w:t>ве пояснительной записки не предоставляется таблица № 6. В связи с отсутствием числовых показателей в составе годовой отчетности и пояснительной записки к ней не представлены формы и приложения: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    - Отчет о бюджетных обязательствах (по национальным проек</w:t>
                  </w:r>
                  <w:r>
                    <w:rPr>
                      <w:color w:val="000000"/>
                      <w:sz w:val="27"/>
                      <w:szCs w:val="27"/>
                    </w:rPr>
                    <w:t>там) (ф. 0503128 - НП);</w:t>
                  </w:r>
                </w:p>
                <w:p w:rsidR="00AF13E2" w:rsidRDefault="00763754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    - Сведения о целевых иностранных кредитах (ф. 0503167);</w:t>
                  </w:r>
                </w:p>
                <w:p w:rsidR="00AF13E2" w:rsidRDefault="00763754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lastRenderedPageBreak/>
                    <w:t>    - Сведения о финансовых вложениях ПБС, АИФ дефицита бюджета (ф.0503171);</w:t>
                  </w:r>
                </w:p>
                <w:p w:rsidR="00AF13E2" w:rsidRDefault="00763754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    - Сведения о государственном (муниципальном долге, предоставленных бюджетных кредитах (ф.05</w:t>
                  </w:r>
                  <w:r>
                    <w:rPr>
                      <w:color w:val="000000"/>
                      <w:sz w:val="27"/>
                      <w:szCs w:val="27"/>
                    </w:rPr>
                    <w:t>03172);</w:t>
                  </w:r>
                </w:p>
                <w:p w:rsidR="00AF13E2" w:rsidRDefault="00763754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    - Сведения об изменении остатков валюты баланса (ф.0503173);</w:t>
                  </w:r>
                </w:p>
                <w:p w:rsidR="00AF13E2" w:rsidRDefault="00763754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    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</w:t>
                  </w:r>
                  <w:r>
                    <w:rPr>
                      <w:color w:val="000000"/>
                      <w:sz w:val="27"/>
                      <w:szCs w:val="27"/>
                    </w:rPr>
                    <w:t>ле (ф. 0503174);</w:t>
                  </w:r>
                </w:p>
                <w:p w:rsidR="00AF13E2" w:rsidRDefault="00763754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     - Сведения о принятых и неисполненных обязательствах получателя бюджетных средств (ф.0503175);</w:t>
                  </w:r>
                </w:p>
                <w:p w:rsidR="00AF13E2" w:rsidRDefault="00763754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     -Сведения об остатках денежных средств на счетах ПБС (ф.0503178);</w:t>
                  </w:r>
                </w:p>
                <w:p w:rsidR="00AF13E2" w:rsidRDefault="00763754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    - Сведения о вложениях в объекты недвижимого имущества, объектах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незавершенного строительства (ф. 0503190);</w:t>
                  </w:r>
                </w:p>
                <w:p w:rsidR="00AF13E2" w:rsidRDefault="00763754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    - Сведения об исполнении судебных решений по денежным обязательствам бюджета (ф. 0203296).</w:t>
                  </w:r>
                </w:p>
              </w:tc>
            </w:tr>
          </w:tbl>
          <w:p w:rsidR="00AF13E2" w:rsidRDefault="007637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AF13E2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</w:tbl>
    <w:p w:rsidR="00AF13E2" w:rsidRDefault="00AF13E2">
      <w:pPr>
        <w:rPr>
          <w:vanish/>
        </w:rPr>
      </w:pPr>
      <w:bookmarkStart w:id="3" w:name="__bookmark_4"/>
      <w:bookmarkEnd w:id="3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AF13E2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AF13E2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AF13E2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Колдова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Евгения Анатольевна</w:t>
                  </w: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  <w:tr w:rsidR="00AF13E2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  <w:tr w:rsidR="00AF13E2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AF13E2">
              <w:trPr>
                <w:trHeight w:val="322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13E2" w:rsidRDefault="0076375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AF13E2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13E2" w:rsidRDefault="00AF13E2">
                  <w:pPr>
                    <w:spacing w:line="1" w:lineRule="auto"/>
                  </w:pPr>
                </w:p>
              </w:tc>
            </w:tr>
            <w:tr w:rsidR="00AF13E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AF13E2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2A397B29EF3EFCF809EAD7E5008A7D64577329C3</w:t>
                        </w:r>
                      </w:p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Колдова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Евгения Анатольевна</w:t>
                        </w:r>
                      </w:p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29.07.2020 по 29.10.2021</w:t>
                        </w:r>
                      </w:p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Дата подписания: 16.02.2021</w:t>
                        </w:r>
                      </w:p>
                    </w:tc>
                  </w:tr>
                </w:tbl>
                <w:p w:rsidR="00AF13E2" w:rsidRDefault="00AF13E2">
                  <w:pPr>
                    <w:spacing w:line="1" w:lineRule="auto"/>
                  </w:pPr>
                </w:p>
              </w:tc>
            </w:tr>
            <w:tr w:rsidR="00AF13E2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</w:tr>
      <w:tr w:rsidR="00AF13E2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  <w:tr w:rsidR="00AF13E2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AF13E2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AF13E2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Грушевская Ирина Владимировна</w:t>
                  </w: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  <w:tr w:rsidR="00AF13E2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  <w:tr w:rsidR="00AF13E2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AF13E2">
              <w:trPr>
                <w:trHeight w:val="322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13E2" w:rsidRDefault="0076375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AF13E2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13E2" w:rsidRDefault="00AF13E2">
                  <w:pPr>
                    <w:spacing w:line="1" w:lineRule="auto"/>
                  </w:pPr>
                </w:p>
              </w:tc>
            </w:tr>
            <w:tr w:rsidR="00AF13E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AF13E2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021AED285CE03C5328E669C6F6E5A3E35E897F85</w:t>
                        </w:r>
                      </w:p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Грушевская Ирина Владимировна</w:t>
                        </w:r>
                      </w:p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12.11.2020 по 12.02.2022</w:t>
                        </w:r>
                      </w:p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Дата подписания: 16.02.2021</w:t>
                        </w:r>
                      </w:p>
                    </w:tc>
                  </w:tr>
                </w:tbl>
                <w:p w:rsidR="00AF13E2" w:rsidRDefault="00AF13E2">
                  <w:pPr>
                    <w:spacing w:line="1" w:lineRule="auto"/>
                  </w:pPr>
                </w:p>
              </w:tc>
            </w:tr>
            <w:tr w:rsidR="00AF13E2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</w:tr>
      <w:tr w:rsidR="00AF13E2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  <w:tr w:rsidR="00AF13E2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AF13E2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AF13E2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Грушевская Ирина Владимировна</w:t>
                  </w: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  <w:tr w:rsidR="00AF13E2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  <w:tr w:rsidR="00AF13E2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AF13E2">
              <w:trPr>
                <w:trHeight w:val="322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13E2" w:rsidRDefault="0076375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AF13E2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13E2" w:rsidRDefault="00AF13E2">
                  <w:pPr>
                    <w:spacing w:line="1" w:lineRule="auto"/>
                  </w:pPr>
                </w:p>
              </w:tc>
            </w:tr>
            <w:tr w:rsidR="00AF13E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AF13E2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Сертификат: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021AED285CE03C5328E669C6F6E5A3E35E897F85</w:t>
                        </w:r>
                      </w:p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Грушевская Ирина Владимировна</w:t>
                        </w:r>
                      </w:p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12.11.2020 по 12.02.2022</w:t>
                        </w:r>
                      </w:p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Дата подписания: 16.02.2021</w:t>
                        </w:r>
                      </w:p>
                    </w:tc>
                  </w:tr>
                </w:tbl>
                <w:p w:rsidR="00AF13E2" w:rsidRDefault="00AF13E2">
                  <w:pPr>
                    <w:spacing w:line="1" w:lineRule="auto"/>
                  </w:pPr>
                </w:p>
              </w:tc>
            </w:tr>
            <w:tr w:rsidR="00AF13E2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</w:tr>
      <w:tr w:rsidR="00AF13E2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  <w:tr w:rsidR="00AF13E2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AF13E2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AF13E2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Грушевская Ирина Владимировна</w:t>
                  </w: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  <w:tr w:rsidR="00AF13E2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  <w:tr w:rsidR="00AF13E2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AF13E2">
              <w:trPr>
                <w:trHeight w:val="322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13E2" w:rsidRDefault="0076375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AF13E2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13E2" w:rsidRDefault="00AF13E2">
                  <w:pPr>
                    <w:spacing w:line="1" w:lineRule="auto"/>
                  </w:pPr>
                </w:p>
              </w:tc>
            </w:tr>
            <w:tr w:rsidR="00AF13E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AF13E2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021AED285CE03C5328E669C6F6E5A3E35E897F85</w:t>
                        </w:r>
                      </w:p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Грушевская Ирина Владимировна</w:t>
                        </w:r>
                      </w:p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12.11.2020 по 12.02.2022</w:t>
                        </w:r>
                      </w:p>
                      <w:p w:rsidR="00AF13E2" w:rsidRDefault="0076375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Дата подписания: 16.02.2021</w:t>
                        </w:r>
                      </w:p>
                    </w:tc>
                  </w:tr>
                </w:tbl>
                <w:p w:rsidR="00AF13E2" w:rsidRDefault="00AF13E2">
                  <w:pPr>
                    <w:spacing w:line="1" w:lineRule="auto"/>
                  </w:pPr>
                </w:p>
              </w:tc>
            </w:tr>
            <w:tr w:rsidR="00AF13E2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AF13E2">
                  <w:pPr>
                    <w:spacing w:line="1" w:lineRule="auto"/>
                  </w:pP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</w:tr>
      <w:tr w:rsidR="00AF13E2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  <w:tr w:rsidR="00AF13E2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AF13E2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r>
                    <w:rPr>
                      <w:color w:val="000000"/>
                      <w:sz w:val="28"/>
                      <w:szCs w:val="28"/>
                    </w:rPr>
                    <w:t>25 марта 2021 г.</w:t>
                  </w: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</w:tbl>
    <w:p w:rsidR="00AF13E2" w:rsidRDefault="00AF13E2">
      <w:pPr>
        <w:sectPr w:rsidR="00AF13E2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:rsidR="00AF13E2" w:rsidRDefault="00AF13E2">
      <w:pPr>
        <w:rPr>
          <w:vanish/>
        </w:rPr>
      </w:pPr>
      <w:bookmarkStart w:id="4" w:name="__bookmark_11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AF13E2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</w:tr>
      <w:tr w:rsidR="00AF13E2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</w:tr>
      <w:tr w:rsidR="00AF13E2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</w:tr>
      <w:tr w:rsidR="00AF13E2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</w:tr>
      <w:tr w:rsidR="00AF13E2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  <w:jc w:val="center"/>
            </w:pPr>
          </w:p>
        </w:tc>
      </w:tr>
      <w:tr w:rsidR="00AF13E2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Активы, обязательства, финансовый результат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AF13E2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13E2" w:rsidRDefault="00763754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0 00000000</w:t>
                  </w:r>
                </w:p>
              </w:tc>
            </w:tr>
          </w:tbl>
          <w:p w:rsidR="00AF13E2" w:rsidRDefault="00AF13E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ведения бухгалтерского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Полномочия переданы централизованной бухгалтерии. (МКУ "ЕЦСУ", Постановление администрации Первомайского района Оренбургской области № 657-п от 02.08.2011 г.). Соглашение на ведение бухгалтерского учета № от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  <w:tr w:rsidR="00AF13E2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7637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3E2" w:rsidRDefault="00AF13E2">
            <w:pPr>
              <w:spacing w:line="1" w:lineRule="auto"/>
            </w:pPr>
          </w:p>
        </w:tc>
      </w:tr>
    </w:tbl>
    <w:p w:rsidR="00763754" w:rsidRDefault="00763754"/>
    <w:sectPr w:rsidR="00763754" w:rsidSect="00AF13E2">
      <w:headerReference w:type="default" r:id="rId8"/>
      <w:footerReference w:type="default" r:id="rId9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54" w:rsidRDefault="00763754" w:rsidP="00AF13E2">
      <w:r>
        <w:separator/>
      </w:r>
    </w:p>
  </w:endnote>
  <w:endnote w:type="continuationSeparator" w:id="0">
    <w:p w:rsidR="00763754" w:rsidRDefault="00763754" w:rsidP="00AF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F13E2">
      <w:trPr>
        <w:trHeight w:val="56"/>
      </w:trPr>
      <w:tc>
        <w:tcPr>
          <w:tcW w:w="10421" w:type="dxa"/>
        </w:tcPr>
        <w:p w:rsidR="00AF13E2" w:rsidRDefault="00AF13E2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F13E2">
      <w:trPr>
        <w:trHeight w:val="56"/>
      </w:trPr>
      <w:tc>
        <w:tcPr>
          <w:tcW w:w="10421" w:type="dxa"/>
        </w:tcPr>
        <w:p w:rsidR="00AF13E2" w:rsidRDefault="00AF13E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54" w:rsidRDefault="00763754" w:rsidP="00AF13E2">
      <w:r>
        <w:separator/>
      </w:r>
    </w:p>
  </w:footnote>
  <w:footnote w:type="continuationSeparator" w:id="0">
    <w:p w:rsidR="00763754" w:rsidRDefault="00763754" w:rsidP="00AF1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F13E2">
      <w:trPr>
        <w:trHeight w:val="56"/>
      </w:trPr>
      <w:tc>
        <w:tcPr>
          <w:tcW w:w="10421" w:type="dxa"/>
        </w:tcPr>
        <w:p w:rsidR="00AF13E2" w:rsidRDefault="00AF13E2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F13E2">
      <w:trPr>
        <w:trHeight w:val="56"/>
      </w:trPr>
      <w:tc>
        <w:tcPr>
          <w:tcW w:w="10421" w:type="dxa"/>
        </w:tcPr>
        <w:p w:rsidR="00AF13E2" w:rsidRDefault="00AF13E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E2"/>
    <w:rsid w:val="00147572"/>
    <w:rsid w:val="00763754"/>
    <w:rsid w:val="00A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00D76-D24F-4AD1-BB36-D222E0FE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F1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Максутовна Ерназарова</dc:creator>
  <cp:keywords/>
  <dc:description/>
  <cp:lastModifiedBy>Гульнара Максутовна Ерназарова</cp:lastModifiedBy>
  <cp:revision>2</cp:revision>
  <dcterms:created xsi:type="dcterms:W3CDTF">2021-03-25T11:50:00Z</dcterms:created>
  <dcterms:modified xsi:type="dcterms:W3CDTF">2021-03-25T11:50:00Z</dcterms:modified>
</cp:coreProperties>
</file>